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30E7BDC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B684B">
        <w:rPr>
          <w:rFonts w:ascii="Arial" w:eastAsia="Arial Unicode MS" w:hAnsi="Arial" w:cs="Arial"/>
          <w:b/>
          <w:bCs/>
          <w:sz w:val="24"/>
        </w:rPr>
        <w:t>4</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017F7" w:rsidRPr="003017F7">
        <w:t xml:space="preserve"> </w:t>
      </w:r>
      <w:r w:rsidR="00E972E9" w:rsidRPr="00E972E9">
        <w:rPr>
          <w:rFonts w:ascii="Arial" w:eastAsia="SimSun" w:hAnsi="Arial"/>
          <w:b/>
          <w:i/>
          <w:noProof/>
          <w:color w:val="auto"/>
          <w:sz w:val="28"/>
          <w:lang w:eastAsia="en-US"/>
        </w:rPr>
        <w:t>S2-2211192</w:t>
      </w:r>
    </w:p>
    <w:p w14:paraId="2614920D" w14:textId="619CD610" w:rsidR="00A24F28" w:rsidRPr="003244C5" w:rsidRDefault="004B684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Toulouse,</w:t>
      </w:r>
      <w:r w:rsidR="0011076A" w:rsidRPr="00880B08">
        <w:rPr>
          <w:rFonts w:ascii="Arial" w:eastAsia="Arial Unicode MS" w:hAnsi="Arial" w:cs="Arial"/>
          <w:b/>
          <w:bCs/>
          <w:sz w:val="24"/>
        </w:rPr>
        <w:t xml:space="preserve"> </w:t>
      </w:r>
      <w:r>
        <w:rPr>
          <w:rFonts w:ascii="Arial" w:eastAsia="Arial Unicode MS" w:hAnsi="Arial" w:cs="Arial"/>
          <w:b/>
          <w:bCs/>
          <w:sz w:val="24"/>
        </w:rPr>
        <w:t>November 14</w:t>
      </w:r>
      <w:r w:rsidRPr="004B684B">
        <w:rPr>
          <w:rFonts w:ascii="Arial" w:eastAsia="Arial Unicode MS" w:hAnsi="Arial" w:cs="Arial"/>
          <w:b/>
          <w:bCs/>
          <w:sz w:val="24"/>
          <w:vertAlign w:val="superscript"/>
        </w:rPr>
        <w:t>th</w:t>
      </w:r>
      <w:r>
        <w:rPr>
          <w:rFonts w:ascii="Arial" w:eastAsia="Arial Unicode MS" w:hAnsi="Arial" w:cs="Arial"/>
          <w:b/>
          <w:bCs/>
          <w:sz w:val="24"/>
        </w:rPr>
        <w:t xml:space="preserve"> -18</w:t>
      </w:r>
      <w:r w:rsidRPr="004B684B">
        <w:rPr>
          <w:rFonts w:ascii="Arial" w:eastAsia="Arial Unicode MS" w:hAnsi="Arial" w:cs="Arial"/>
          <w:b/>
          <w:bCs/>
          <w:sz w:val="24"/>
          <w:vertAlign w:val="superscript"/>
        </w:rPr>
        <w:t>th</w:t>
      </w:r>
      <w:r>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w:t>
      </w:r>
      <w:r w:rsidR="00B96328" w:rsidRPr="00B96328">
        <w:t xml:space="preserve"> </w:t>
      </w:r>
      <w:r w:rsidR="00B96328" w:rsidRPr="00B96328">
        <w:rPr>
          <w:rFonts w:ascii="Arial" w:hAnsi="Arial" w:cs="Arial"/>
          <w:b/>
          <w:bCs/>
          <w:color w:val="0000FF"/>
        </w:rPr>
        <w:t>S2-2210744</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208DFF9B" w14:textId="2715F46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636F7">
        <w:rPr>
          <w:rFonts w:ascii="Arial" w:hAnsi="Arial" w:cs="Arial"/>
          <w:b/>
        </w:rPr>
        <w:t>Nokia, Nokia Shanghai Bell</w:t>
      </w:r>
    </w:p>
    <w:p w14:paraId="4B0D67A3" w14:textId="6F76CC11"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1FD8">
        <w:rPr>
          <w:rFonts w:ascii="Arial" w:hAnsi="Arial" w:cs="Arial"/>
          <w:b/>
        </w:rPr>
        <w:t>KI#</w:t>
      </w:r>
      <w:r w:rsidR="00044A9C">
        <w:rPr>
          <w:rFonts w:ascii="Arial" w:hAnsi="Arial" w:cs="Arial"/>
          <w:b/>
        </w:rPr>
        <w:t>3</w:t>
      </w:r>
      <w:r w:rsidR="006D1FD8">
        <w:rPr>
          <w:rFonts w:ascii="Arial" w:hAnsi="Arial" w:cs="Arial"/>
          <w:b/>
        </w:rPr>
        <w:t xml:space="preserve"> Updated evaluations and conclusions</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1015B98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w:t>
      </w:r>
      <w:r w:rsidR="004F1D05">
        <w:rPr>
          <w:rFonts w:ascii="Arial" w:hAnsi="Arial" w:cs="Arial"/>
          <w:b/>
        </w:rPr>
        <w:t>9</w:t>
      </w:r>
    </w:p>
    <w:p w14:paraId="4DF143A7" w14:textId="68E1060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w:t>
      </w:r>
      <w:r w:rsidR="00044A9C">
        <w:rPr>
          <w:rFonts w:ascii="Arial" w:hAnsi="Arial" w:cs="Arial"/>
          <w:b/>
        </w:rPr>
        <w:t>VMR</w:t>
      </w:r>
      <w:r w:rsidR="00462B3D" w:rsidRPr="00CA76A1">
        <w:rPr>
          <w:rFonts w:ascii="Arial" w:hAnsi="Arial" w:cs="Arial"/>
          <w:b/>
        </w:rPr>
        <w:t>/ Rel-1</w:t>
      </w:r>
      <w:r w:rsidR="006D7852" w:rsidRPr="00CA76A1">
        <w:rPr>
          <w:rFonts w:ascii="Arial" w:hAnsi="Arial" w:cs="Arial"/>
          <w:b/>
        </w:rPr>
        <w:t>8</w:t>
      </w:r>
    </w:p>
    <w:p w14:paraId="3BBD44C5" w14:textId="2026807D"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w:t>
      </w:r>
      <w:r w:rsidR="00AA180C">
        <w:rPr>
          <w:rFonts w:ascii="Arial" w:hAnsi="Arial" w:cs="Arial"/>
          <w:i/>
        </w:rPr>
        <w:t>this paper provides some further enhancements of the KI#</w:t>
      </w:r>
      <w:r w:rsidR="00044A9C">
        <w:rPr>
          <w:rFonts w:ascii="Arial" w:hAnsi="Arial" w:cs="Arial"/>
          <w:i/>
        </w:rPr>
        <w:t>3</w:t>
      </w:r>
      <w:r w:rsidR="00AA180C">
        <w:rPr>
          <w:rFonts w:ascii="Arial" w:hAnsi="Arial" w:cs="Arial"/>
          <w:i/>
        </w:rPr>
        <w:t xml:space="preserve"> conclusion.</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26E9BFC8" w14:textId="6FCE73F9" w:rsidR="002A00B5" w:rsidRDefault="006D1FD8" w:rsidP="002A00B5">
      <w:r>
        <w:t>At SA2#153 initial conclusions were drawn for KI#</w:t>
      </w:r>
      <w:r w:rsidR="00BE210B">
        <w:t>3</w:t>
      </w:r>
      <w:r>
        <w:t>.</w:t>
      </w:r>
    </w:p>
    <w:p w14:paraId="2B93962C" w14:textId="0818694E" w:rsidR="00044746" w:rsidRDefault="0095744D" w:rsidP="002A00B5">
      <w:r>
        <w:t>It is clear that whether one of the two options (TA</w:t>
      </w:r>
      <w:r w:rsidR="007C0D26">
        <w:t xml:space="preserve"> assigned to be the same as</w:t>
      </w:r>
      <w:r>
        <w:t xml:space="preserve"> </w:t>
      </w:r>
      <w:r w:rsidR="00C84345">
        <w:t>the TA of the donor gNB cell serving the MBSR</w:t>
      </w:r>
      <w:r>
        <w:t>, or TA assigned by t</w:t>
      </w:r>
      <w:r w:rsidR="007C0D26">
        <w:t xml:space="preserve">he Donor gNB to be a value potentially different from the </w:t>
      </w:r>
      <w:r w:rsidR="00C84345">
        <w:t>TA of the donor gNB cell serving the MBSR)</w:t>
      </w:r>
      <w:r w:rsidR="008E48E5">
        <w:t xml:space="preserve"> should be ruled out has to be determined by RAN WGs, but from SA2 perspective it is unlikely we can conclude one of the two approaches is not valid.</w:t>
      </w:r>
      <w:r w:rsidR="003F5D30">
        <w:t xml:space="preserve"> Hence, we can just assume the two can be supported normatively in SA2 also because the impact on SA2 specifications is unclear.</w:t>
      </w:r>
      <w:r w:rsidR="00021DB5">
        <w:t xml:space="preserve"> We will align if needed.</w:t>
      </w:r>
    </w:p>
    <w:p w14:paraId="78861534" w14:textId="50D9E1EB" w:rsidR="00021DB5" w:rsidRDefault="00021DB5" w:rsidP="002A00B5">
      <w:r>
        <w:t>For group mobility: we can assume that unless RAN groups decide to specify it, we will not do any work and any work will be done only if RAN proceeds with this and impact to SA2 specifications is identified.</w:t>
      </w:r>
    </w:p>
    <w:p w14:paraId="1FE93020" w14:textId="77777777" w:rsidR="00A067C9" w:rsidRDefault="00A067C9" w:rsidP="002A00B5"/>
    <w:p w14:paraId="3DA93585" w14:textId="77777777" w:rsidR="00CA6115" w:rsidRPr="00927C1B" w:rsidRDefault="00CA6115" w:rsidP="00CA6115">
      <w:pPr>
        <w:pStyle w:val="Heading1"/>
      </w:pPr>
      <w:r>
        <w:t>2</w:t>
      </w:r>
      <w:r w:rsidRPr="00927C1B">
        <w:t xml:space="preserve">. </w:t>
      </w:r>
      <w:r>
        <w:t>Text Proposal</w:t>
      </w:r>
    </w:p>
    <w:p w14:paraId="1F77032A" w14:textId="42E063ED"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w:t>
      </w:r>
      <w:r w:rsidR="00AA180C">
        <w:rPr>
          <w:lang w:eastAsia="zh-CN"/>
        </w:rPr>
        <w:t>05</w:t>
      </w:r>
    </w:p>
    <w:p w14:paraId="33C11F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C96F39">
        <w:rPr>
          <w:rFonts w:ascii="Arial" w:hAnsi="Arial" w:cs="Arial"/>
          <w:color w:val="FF0000"/>
          <w:sz w:val="28"/>
          <w:szCs w:val="28"/>
          <w:lang w:val="en-US"/>
        </w:rPr>
        <w:t xml:space="preserve"> </w:t>
      </w:r>
    </w:p>
    <w:p w14:paraId="18102C19" w14:textId="77777777" w:rsidR="00116374" w:rsidRDefault="00116374" w:rsidP="00116374">
      <w:pPr>
        <w:pStyle w:val="Heading2"/>
        <w:rPr>
          <w:rFonts w:eastAsia="DengXian"/>
          <w:lang w:eastAsia="en-GB"/>
        </w:rPr>
      </w:pPr>
      <w:bookmarkStart w:id="2" w:name="_Toc112738624"/>
      <w:bookmarkStart w:id="3" w:name="_Toc117260027"/>
      <w:bookmarkStart w:id="4" w:name="_Toc104302541"/>
      <w:bookmarkStart w:id="5" w:name="_Toc104359507"/>
      <w:bookmarkStart w:id="6" w:name="_Toc104872691"/>
      <w:bookmarkEnd w:id="1"/>
      <w:r>
        <w:rPr>
          <w:rFonts w:eastAsia="DengXian"/>
        </w:rPr>
        <w:t>8.3</w:t>
      </w:r>
      <w:r>
        <w:rPr>
          <w:rFonts w:eastAsia="DengXian"/>
        </w:rPr>
        <w:tab/>
        <w:t>Conclusions for KI#3</w:t>
      </w:r>
      <w:bookmarkEnd w:id="2"/>
      <w:bookmarkEnd w:id="3"/>
    </w:p>
    <w:p w14:paraId="09A0BC5A" w14:textId="77777777" w:rsidR="00116374" w:rsidRDefault="00116374" w:rsidP="00116374">
      <w:r>
        <w:t>For KI#3, the interim conclusions are as follows:</w:t>
      </w:r>
    </w:p>
    <w:p w14:paraId="76666BD5" w14:textId="4E9E7F71" w:rsidR="00116374" w:rsidDel="00922020" w:rsidRDefault="00116374" w:rsidP="00116374">
      <w:pPr>
        <w:pStyle w:val="B1"/>
        <w:rPr>
          <w:del w:id="7" w:author="Nokia" w:date="2022-11-01T14:41:00Z"/>
        </w:rPr>
      </w:pPr>
      <w:del w:id="8" w:author="Nokia" w:date="2022-11-01T14:41:00Z">
        <w:r w:rsidDel="00922020">
          <w:delText>-</w:delText>
        </w:r>
        <w:r w:rsidDel="00922020">
          <w:tab/>
          <w:delText>During MBSR's mobility, the TAC broadcasted by the MBSR is the same as the TAC of the cell where the IAB-UE is located. When the IAB-UE enters to a new TA, the cell broadcasting information is updated accordingly.</w:delText>
        </w:r>
      </w:del>
    </w:p>
    <w:p w14:paraId="40EF1C89" w14:textId="77777777" w:rsidR="003B4940" w:rsidRDefault="00116374" w:rsidP="003B4940">
      <w:pPr>
        <w:pStyle w:val="B1"/>
        <w:rPr>
          <w:ins w:id="9" w:author="Nokia" w:date="2022-11-01T14:44:00Z"/>
        </w:rPr>
      </w:pPr>
      <w:r>
        <w:t>-</w:t>
      </w:r>
      <w:r>
        <w:tab/>
        <w:t>The UE's mobility management is performed using the legacy mechanism as defined in the TS 23.501 [2] and TS 23.502 [5]. The UE in CM-Idle shall follow legacy procedure when detecting a TAC which is not in the TA list.</w:t>
      </w:r>
    </w:p>
    <w:p w14:paraId="1CB8D09A" w14:textId="5AE1EEEF" w:rsidR="00F149B3" w:rsidRDefault="003B4940" w:rsidP="00116374">
      <w:pPr>
        <w:pStyle w:val="B1"/>
        <w:rPr>
          <w:ins w:id="10" w:author="Nokia" w:date="2022-11-17T08:32:00Z"/>
        </w:rPr>
      </w:pPr>
      <w:bookmarkStart w:id="11" w:name="_Hlk118369646"/>
      <w:bookmarkStart w:id="12" w:name="_Hlk118369745"/>
      <w:ins w:id="13" w:author="Nokia" w:date="2022-11-01T14:44:00Z">
        <w:r>
          <w:t>-</w:t>
        </w:r>
        <w:r>
          <w:tab/>
          <w:t>The TAC broadcasted by the MBSR cell(s) is configured by the Donor gNB and whether this is the same as the one of the cell of the Donor gNB serving the MBSR</w:t>
        </w:r>
      </w:ins>
      <w:ins w:id="14" w:author="Nokia" w:date="2022-11-01T14:46:00Z">
        <w:r w:rsidR="0002068A">
          <w:t>,</w:t>
        </w:r>
      </w:ins>
      <w:ins w:id="15" w:author="Nokia" w:date="2022-11-01T14:44:00Z">
        <w:r>
          <w:t xml:space="preserve"> or not</w:t>
        </w:r>
      </w:ins>
      <w:ins w:id="16" w:author="Nokia" w:date="2022-11-01T14:46:00Z">
        <w:r w:rsidR="0002068A">
          <w:t>,</w:t>
        </w:r>
      </w:ins>
      <w:ins w:id="17" w:author="Nokia" w:date="2022-11-01T14:44:00Z">
        <w:r>
          <w:t xml:space="preserve"> </w:t>
        </w:r>
      </w:ins>
      <w:ins w:id="18" w:author="Nokia" w:date="2022-11-03T12:01:00Z">
        <w:r w:rsidR="00F149B3">
          <w:t>will be based on alignment with RAN WGs</w:t>
        </w:r>
      </w:ins>
      <w:bookmarkStart w:id="19" w:name="_Hlk118369635"/>
      <w:bookmarkEnd w:id="11"/>
      <w:ins w:id="20" w:author="Nokia" w:date="2022-11-03T12:08:00Z">
        <w:r w:rsidR="00F149B3">
          <w:t xml:space="preserve"> and SA2 may align specifications if SA2 specifications impact is identified.</w:t>
        </w:r>
      </w:ins>
    </w:p>
    <w:p w14:paraId="28983EF0" w14:textId="4D084ED0" w:rsidR="002C6940" w:rsidRDefault="002C6940">
      <w:pPr>
        <w:pStyle w:val="NO"/>
        <w:rPr>
          <w:ins w:id="21" w:author="Nokia" w:date="2022-11-03T12:08:00Z"/>
        </w:rPr>
        <w:pPrChange w:id="22" w:author="Nokia" w:date="2022-11-17T08:32:00Z">
          <w:pPr>
            <w:pStyle w:val="B1"/>
          </w:pPr>
        </w:pPrChange>
      </w:pPr>
      <w:ins w:id="23" w:author="Nokia" w:date="2022-11-17T08:32:00Z">
        <w:r w:rsidRPr="0025075C">
          <w:rPr>
            <w:highlight w:val="green"/>
            <w:rPrChange w:id="24" w:author="Nokia" w:date="2022-11-17T08:33:00Z">
              <w:rPr/>
            </w:rPrChange>
          </w:rPr>
          <w:t xml:space="preserve">NOTE: </w:t>
        </w:r>
      </w:ins>
      <w:ins w:id="25" w:author="Nokia" w:date="2022-11-17T08:33:00Z">
        <w:r w:rsidRPr="0025075C">
          <w:rPr>
            <w:highlight w:val="green"/>
            <w:rPrChange w:id="26" w:author="Nokia" w:date="2022-11-17T08:33:00Z">
              <w:rPr/>
            </w:rPrChange>
          </w:rPr>
          <w:t>Normative work will be based on RAN decisions.</w:t>
        </w:r>
      </w:ins>
    </w:p>
    <w:bookmarkEnd w:id="12"/>
    <w:p w14:paraId="6EB42CFD" w14:textId="77777777" w:rsidR="00D444BE" w:rsidRDefault="00116374" w:rsidP="00116374">
      <w:pPr>
        <w:pStyle w:val="B1"/>
        <w:rPr>
          <w:ins w:id="27" w:author="Nokia" w:date="2022-11-03T16:05:00Z"/>
        </w:rPr>
      </w:pPr>
      <w:r>
        <w:t>-</w:t>
      </w:r>
      <w:r>
        <w:tab/>
        <w:t>Each UE connected via the MBSR may have different serving AMFs e.g., due to slicing and individual PDU sessions/QoS service flows configured. UE context handling and path switching would be handled per each individual UE.</w:t>
      </w:r>
      <w:ins w:id="28" w:author="Nokia" w:date="2022-11-01T14:41:00Z">
        <w:r w:rsidR="00E53FBE">
          <w:t xml:space="preserve"> </w:t>
        </w:r>
      </w:ins>
      <w:bookmarkStart w:id="29" w:name="_Hlk118369482"/>
    </w:p>
    <w:p w14:paraId="0ED65B42" w14:textId="6FCA3F5F" w:rsidR="00116374" w:rsidRDefault="00D444BE" w:rsidP="00116374">
      <w:pPr>
        <w:pStyle w:val="B1"/>
        <w:rPr>
          <w:ins w:id="30" w:author="Nokia" w:date="2022-11-01T14:42:00Z"/>
        </w:rPr>
      </w:pPr>
      <w:ins w:id="31" w:author="Nokia" w:date="2022-11-03T16:05:00Z">
        <w:r>
          <w:t>-</w:t>
        </w:r>
        <w:r>
          <w:tab/>
        </w:r>
        <w:r w:rsidRPr="00D444BE">
          <w:t>No normative work for Group mobility of the UEs served by the MBSR</w:t>
        </w:r>
      </w:ins>
      <w:ins w:id="32" w:author="Nokia" w:date="2022-11-04T13:54:00Z">
        <w:r w:rsidR="003017F7">
          <w:t>.</w:t>
        </w:r>
      </w:ins>
      <w:ins w:id="33" w:author="Nokia" w:date="2022-11-03T16:05:00Z">
        <w:r w:rsidRPr="00D444BE">
          <w:t xml:space="preserve"> Alignment of specifications may be done only if RAN WGs decide to support this.</w:t>
        </w:r>
      </w:ins>
    </w:p>
    <w:bookmarkEnd w:id="29"/>
    <w:bookmarkEnd w:id="19"/>
    <w:p w14:paraId="4330B762" w14:textId="52CA5CA8" w:rsidR="00E53FBE" w:rsidDel="003B4940" w:rsidRDefault="00E53FBE" w:rsidP="00116374">
      <w:pPr>
        <w:pStyle w:val="B1"/>
        <w:rPr>
          <w:del w:id="34" w:author="Nokia" w:date="2022-11-01T14:44:00Z"/>
        </w:rPr>
      </w:pPr>
    </w:p>
    <w:p w14:paraId="5077BC41" w14:textId="5B0A776A" w:rsidR="00116374" w:rsidDel="00922020" w:rsidRDefault="00116374" w:rsidP="00116374">
      <w:pPr>
        <w:pStyle w:val="EditorsNote"/>
        <w:rPr>
          <w:del w:id="35" w:author="Nokia" w:date="2022-11-01T14:41:00Z"/>
        </w:rPr>
      </w:pPr>
      <w:del w:id="36" w:author="Nokia" w:date="2022-11-01T14:41:00Z">
        <w:r w:rsidDel="00922020">
          <w:delText>Editor's note:</w:delText>
        </w:r>
        <w:r w:rsidDel="00922020">
          <w:tab/>
          <w:delText>The above interim conclusion and support of group mobility are subject to feedback of RAN WGs and will be revisited as per the feedback.</w:delText>
        </w:r>
      </w:del>
    </w:p>
    <w:p w14:paraId="1C7DFC2E" w14:textId="365CA4D1" w:rsidR="00116374" w:rsidDel="00922020" w:rsidRDefault="00116374" w:rsidP="00116374">
      <w:pPr>
        <w:pStyle w:val="EditorsNote"/>
        <w:rPr>
          <w:del w:id="37" w:author="Nokia" w:date="2022-11-01T14:41:00Z"/>
        </w:rPr>
      </w:pPr>
      <w:del w:id="38" w:author="Nokia" w:date="2022-11-01T14:41:00Z">
        <w:r w:rsidDel="00922020">
          <w:delText>Editor's note:</w:delText>
        </w:r>
        <w:r w:rsidDel="00922020">
          <w:tab/>
          <w:delText>Regarding the alternatives assuming MBSR operates with dedicated TAC(s), it is subject to the feedback of RAN WGs.</w:delText>
        </w:r>
      </w:del>
    </w:p>
    <w:p w14:paraId="28404023" w14:textId="5F7A4631" w:rsidR="00116374" w:rsidDel="00922020" w:rsidRDefault="00116374" w:rsidP="00116374">
      <w:pPr>
        <w:pStyle w:val="EditorsNote"/>
        <w:rPr>
          <w:del w:id="39" w:author="Nokia" w:date="2022-11-01T14:41:00Z"/>
        </w:rPr>
      </w:pPr>
      <w:del w:id="40" w:author="Nokia" w:date="2022-11-01T14:41:00Z">
        <w:r w:rsidDel="00922020">
          <w:delText>Editor's note:</w:delText>
        </w:r>
        <w:r w:rsidDel="00922020">
          <w:tab/>
          <w:delText>For UEs in RRC-Connected/CM-Connected state via an MBSR, whether and how to guarantee UE's service continuity is subject to the IAB full migration/mobility in the RAN Rel-18 study.</w:delText>
        </w:r>
      </w:del>
    </w:p>
    <w:p w14:paraId="43E946DF" w14:textId="2752E3AD" w:rsidR="00116374" w:rsidDel="00922020" w:rsidRDefault="00116374" w:rsidP="00116374">
      <w:pPr>
        <w:pStyle w:val="EditorsNote"/>
        <w:rPr>
          <w:del w:id="41" w:author="Nokia" w:date="2022-11-01T14:41:00Z"/>
          <w:lang w:val="en-US"/>
        </w:rPr>
      </w:pPr>
      <w:del w:id="42" w:author="Nokia" w:date="2022-11-01T14:41:00Z">
        <w:r w:rsidDel="00922020">
          <w:delText>Editor's note:</w:delText>
        </w:r>
        <w:r w:rsidDel="00922020">
          <w:tab/>
        </w:r>
        <w:r w:rsidDel="00922020">
          <w:rPr>
            <w:lang w:val="en-US"/>
          </w:rPr>
          <w:delText>The alternatives assuming MBSR operates with dedicated TAC(s) or TAC from Donor are subject to the feedback of RAN WGs.</w:delText>
        </w:r>
      </w:del>
    </w:p>
    <w:p w14:paraId="4142850A" w14:textId="54B17511" w:rsidR="00CB7369" w:rsidRDefault="00CB7369" w:rsidP="002A00B5">
      <w:pPr>
        <w:pStyle w:val="Heading3"/>
        <w:rPr>
          <w:lang w:eastAsia="ko-KR"/>
        </w:rPr>
      </w:pPr>
    </w:p>
    <w:bookmarkEnd w:id="4"/>
    <w:bookmarkEnd w:id="5"/>
    <w:bookmarkEnd w:id="6"/>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22E6E" w14:textId="77777777" w:rsidR="007B2A7E" w:rsidRDefault="007B2A7E">
      <w:r>
        <w:separator/>
      </w:r>
    </w:p>
    <w:p w14:paraId="737C05BA" w14:textId="77777777" w:rsidR="007B2A7E" w:rsidRDefault="007B2A7E"/>
  </w:endnote>
  <w:endnote w:type="continuationSeparator" w:id="0">
    <w:p w14:paraId="019BA8C4" w14:textId="77777777" w:rsidR="007B2A7E" w:rsidRDefault="007B2A7E">
      <w:r>
        <w:continuationSeparator/>
      </w:r>
    </w:p>
    <w:p w14:paraId="4BA61E20" w14:textId="77777777" w:rsidR="007B2A7E" w:rsidRDefault="007B2A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407C0" w14:textId="77777777" w:rsidR="007B2A7E" w:rsidRDefault="007B2A7E">
      <w:r>
        <w:separator/>
      </w:r>
    </w:p>
    <w:p w14:paraId="1A1A365B" w14:textId="77777777" w:rsidR="007B2A7E" w:rsidRDefault="007B2A7E"/>
  </w:footnote>
  <w:footnote w:type="continuationSeparator" w:id="0">
    <w:p w14:paraId="00A96945" w14:textId="77777777" w:rsidR="007B2A7E" w:rsidRDefault="007B2A7E">
      <w:r>
        <w:continuationSeparator/>
      </w:r>
    </w:p>
    <w:p w14:paraId="7E383888" w14:textId="77777777" w:rsidR="007B2A7E" w:rsidRDefault="007B2A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
  </w:num>
  <w:num w:numId="4">
    <w:abstractNumId w:val="5"/>
  </w:num>
  <w:num w:numId="5">
    <w:abstractNumId w:val="12"/>
  </w:num>
  <w:num w:numId="6">
    <w:abstractNumId w:val="17"/>
  </w:num>
  <w:num w:numId="7">
    <w:abstractNumId w:val="8"/>
  </w:num>
  <w:num w:numId="8">
    <w:abstractNumId w:val="11"/>
  </w:num>
  <w:num w:numId="9">
    <w:abstractNumId w:val="14"/>
  </w:num>
  <w:num w:numId="10">
    <w:abstractNumId w:val="18"/>
  </w:num>
  <w:num w:numId="11">
    <w:abstractNumId w:val="9"/>
  </w:num>
  <w:num w:numId="12">
    <w:abstractNumId w:val="0"/>
  </w:num>
  <w:num w:numId="13">
    <w:abstractNumId w:val="4"/>
  </w:num>
  <w:num w:numId="14">
    <w:abstractNumId w:val="10"/>
  </w:num>
  <w:num w:numId="15">
    <w:abstractNumId w:val="16"/>
  </w:num>
  <w:num w:numId="16">
    <w:abstractNumId w:val="2"/>
  </w:num>
  <w:num w:numId="17">
    <w:abstractNumId w:val="6"/>
  </w:num>
  <w:num w:numId="18">
    <w:abstractNumId w:val="15"/>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B7"/>
    <w:rsid w:val="00016A41"/>
    <w:rsid w:val="0002068A"/>
    <w:rsid w:val="00021DB5"/>
    <w:rsid w:val="000220E9"/>
    <w:rsid w:val="00022AD8"/>
    <w:rsid w:val="00023565"/>
    <w:rsid w:val="00024628"/>
    <w:rsid w:val="00024798"/>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4746"/>
    <w:rsid w:val="00044A9C"/>
    <w:rsid w:val="00045722"/>
    <w:rsid w:val="00047051"/>
    <w:rsid w:val="00047B2E"/>
    <w:rsid w:val="00047C64"/>
    <w:rsid w:val="00050528"/>
    <w:rsid w:val="00050D23"/>
    <w:rsid w:val="00051787"/>
    <w:rsid w:val="00052A29"/>
    <w:rsid w:val="00052DA8"/>
    <w:rsid w:val="00053BD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E7945"/>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16374"/>
    <w:rsid w:val="001170AE"/>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DFF"/>
    <w:rsid w:val="001750EF"/>
    <w:rsid w:val="001765B4"/>
    <w:rsid w:val="00176CD0"/>
    <w:rsid w:val="00177EFC"/>
    <w:rsid w:val="001802CC"/>
    <w:rsid w:val="001806F6"/>
    <w:rsid w:val="001821B7"/>
    <w:rsid w:val="00182258"/>
    <w:rsid w:val="001835B3"/>
    <w:rsid w:val="00184110"/>
    <w:rsid w:val="00184314"/>
    <w:rsid w:val="001845C7"/>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D032F"/>
    <w:rsid w:val="001D0433"/>
    <w:rsid w:val="001D06A4"/>
    <w:rsid w:val="001D1200"/>
    <w:rsid w:val="001D1FB4"/>
    <w:rsid w:val="001D2DF9"/>
    <w:rsid w:val="001D75EA"/>
    <w:rsid w:val="001E0DF5"/>
    <w:rsid w:val="001E115B"/>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75C"/>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940"/>
    <w:rsid w:val="002C6CD3"/>
    <w:rsid w:val="002C6F50"/>
    <w:rsid w:val="002C7BE7"/>
    <w:rsid w:val="002D0CC3"/>
    <w:rsid w:val="002D0EDD"/>
    <w:rsid w:val="002D1E5B"/>
    <w:rsid w:val="002D2752"/>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17F7"/>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85"/>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270F"/>
    <w:rsid w:val="003A376F"/>
    <w:rsid w:val="003A3BC8"/>
    <w:rsid w:val="003A5197"/>
    <w:rsid w:val="003A5B21"/>
    <w:rsid w:val="003A69B6"/>
    <w:rsid w:val="003A6AB2"/>
    <w:rsid w:val="003B00A0"/>
    <w:rsid w:val="003B020E"/>
    <w:rsid w:val="003B0FC2"/>
    <w:rsid w:val="003B2E77"/>
    <w:rsid w:val="003B2F4F"/>
    <w:rsid w:val="003B3C85"/>
    <w:rsid w:val="003B4940"/>
    <w:rsid w:val="003B59D6"/>
    <w:rsid w:val="003B7365"/>
    <w:rsid w:val="003B7948"/>
    <w:rsid w:val="003C02B3"/>
    <w:rsid w:val="003C202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D3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5F1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A7448"/>
    <w:rsid w:val="004B0238"/>
    <w:rsid w:val="004B08B3"/>
    <w:rsid w:val="004B28C5"/>
    <w:rsid w:val="004B28FE"/>
    <w:rsid w:val="004B3A9A"/>
    <w:rsid w:val="004B48B8"/>
    <w:rsid w:val="004B684B"/>
    <w:rsid w:val="004B7262"/>
    <w:rsid w:val="004B7CB0"/>
    <w:rsid w:val="004B7F5D"/>
    <w:rsid w:val="004C025E"/>
    <w:rsid w:val="004C04D2"/>
    <w:rsid w:val="004C2A9C"/>
    <w:rsid w:val="004C49BC"/>
    <w:rsid w:val="004C531F"/>
    <w:rsid w:val="004C540F"/>
    <w:rsid w:val="004C613E"/>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D05"/>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38A9"/>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DC6"/>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0E1E"/>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80"/>
    <w:rsid w:val="005A229D"/>
    <w:rsid w:val="005A26B4"/>
    <w:rsid w:val="005A29F2"/>
    <w:rsid w:val="005A5CCE"/>
    <w:rsid w:val="005A66D7"/>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5104"/>
    <w:rsid w:val="00606822"/>
    <w:rsid w:val="00611B09"/>
    <w:rsid w:val="00612490"/>
    <w:rsid w:val="00612D1B"/>
    <w:rsid w:val="00613159"/>
    <w:rsid w:val="006133BE"/>
    <w:rsid w:val="00613572"/>
    <w:rsid w:val="00613CCC"/>
    <w:rsid w:val="00613D2A"/>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B4A"/>
    <w:rsid w:val="006C4B53"/>
    <w:rsid w:val="006C6C32"/>
    <w:rsid w:val="006C70F0"/>
    <w:rsid w:val="006C7993"/>
    <w:rsid w:val="006D1207"/>
    <w:rsid w:val="006D14DF"/>
    <w:rsid w:val="006D1FD8"/>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6C4"/>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A23"/>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A7E"/>
    <w:rsid w:val="007B2ECC"/>
    <w:rsid w:val="007B3378"/>
    <w:rsid w:val="007B5E9D"/>
    <w:rsid w:val="007B5FD9"/>
    <w:rsid w:val="007B63AA"/>
    <w:rsid w:val="007B6816"/>
    <w:rsid w:val="007B7ED9"/>
    <w:rsid w:val="007C0D26"/>
    <w:rsid w:val="007C0D39"/>
    <w:rsid w:val="007C107C"/>
    <w:rsid w:val="007C1086"/>
    <w:rsid w:val="007C1F8B"/>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149A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512DA"/>
    <w:rsid w:val="00851C3D"/>
    <w:rsid w:val="00852CDD"/>
    <w:rsid w:val="0085303D"/>
    <w:rsid w:val="008537DD"/>
    <w:rsid w:val="00853AE3"/>
    <w:rsid w:val="00854794"/>
    <w:rsid w:val="00854869"/>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48E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202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114"/>
    <w:rsid w:val="0095559B"/>
    <w:rsid w:val="0095721F"/>
    <w:rsid w:val="009572DA"/>
    <w:rsid w:val="0095744D"/>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200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2F6A"/>
    <w:rsid w:val="009E3D4D"/>
    <w:rsid w:val="009E4567"/>
    <w:rsid w:val="009E5AD2"/>
    <w:rsid w:val="009E5E33"/>
    <w:rsid w:val="009E70E9"/>
    <w:rsid w:val="009F00BC"/>
    <w:rsid w:val="009F0BD4"/>
    <w:rsid w:val="009F1847"/>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7C9"/>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A9F"/>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180C"/>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A86"/>
    <w:rsid w:val="00AC4CDB"/>
    <w:rsid w:val="00AC4EB8"/>
    <w:rsid w:val="00AC52D9"/>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4FC4"/>
    <w:rsid w:val="00B05341"/>
    <w:rsid w:val="00B059AF"/>
    <w:rsid w:val="00B06F3E"/>
    <w:rsid w:val="00B079F5"/>
    <w:rsid w:val="00B10464"/>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2B2"/>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5DC8"/>
    <w:rsid w:val="00B96328"/>
    <w:rsid w:val="00B9643B"/>
    <w:rsid w:val="00BA00DE"/>
    <w:rsid w:val="00BA0311"/>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05"/>
    <w:rsid w:val="00BC23D0"/>
    <w:rsid w:val="00BC2519"/>
    <w:rsid w:val="00BC255C"/>
    <w:rsid w:val="00BC2C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10B"/>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E48"/>
    <w:rsid w:val="00C80BE3"/>
    <w:rsid w:val="00C80EAD"/>
    <w:rsid w:val="00C83CA4"/>
    <w:rsid w:val="00C83D2F"/>
    <w:rsid w:val="00C84345"/>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4BE"/>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5B1B"/>
    <w:rsid w:val="00D579EB"/>
    <w:rsid w:val="00D614D5"/>
    <w:rsid w:val="00D6339A"/>
    <w:rsid w:val="00D64639"/>
    <w:rsid w:val="00D64BFB"/>
    <w:rsid w:val="00D66485"/>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5EAB"/>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2A4"/>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FD"/>
    <w:rsid w:val="00DF2E05"/>
    <w:rsid w:val="00DF35F4"/>
    <w:rsid w:val="00DF54A8"/>
    <w:rsid w:val="00DF58F2"/>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9F"/>
    <w:rsid w:val="00E53FBE"/>
    <w:rsid w:val="00E54D1D"/>
    <w:rsid w:val="00E55670"/>
    <w:rsid w:val="00E557D6"/>
    <w:rsid w:val="00E55CA3"/>
    <w:rsid w:val="00E57CA8"/>
    <w:rsid w:val="00E57E85"/>
    <w:rsid w:val="00E62959"/>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972E9"/>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9B3"/>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730"/>
    <w:rsid w:val="00F93893"/>
    <w:rsid w:val="00F950EB"/>
    <w:rsid w:val="00F9563A"/>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49775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55111353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3623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617485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420</Words>
  <Characters>2751</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6</cp:revision>
  <cp:lastPrinted>2018-08-13T16:59:00Z</cp:lastPrinted>
  <dcterms:created xsi:type="dcterms:W3CDTF">2022-11-17T08:30:00Z</dcterms:created>
  <dcterms:modified xsi:type="dcterms:W3CDTF">2022-11-17T12:47:00Z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